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rsidR="00A77B3E"/>
    <w:p w:rsidR="00A77B3E">
      <w:pPr>
        <w:pStyle w:val="1"/>
      </w:pPr>
    </w:p>
    <w:p w:rsidR="00A77B3E">
      <w:pPr>
        <w:pStyle w:val="1"/>
      </w:pPr>
    </w:p>
    <w:p w:rsidR="00A77B3E">
      <w:pPr>
        <w:pStyle w:val="2"/>
      </w:pPr>
      <w:r>
        <w:t>I.</w:t>
      </w:r>
    </w:p>
    <w:p w:rsidR="00A77B3E">
      <w:pPr>
        <w:pStyle w:val="1"/>
      </w:pPr>
    </w:p>
    <w:p w:rsidR="00A77B3E">
      <w:pPr>
        <w:pStyle w:val="3"/>
      </w:pPr>
      <w:r>
        <w:t>Stručný popis obsahu návrhu právního předpisu</w:t>
      </w:r>
    </w:p>
    <w:p w:rsidR="00A77B3E">
      <w:pPr>
        <w:pStyle w:val="1"/>
      </w:pPr>
    </w:p>
    <w:p w:rsidR="00A77B3E">
      <w:pPr>
        <w:pStyle w:val="4"/>
      </w:pPr>
      <w:r>
        <w:t>Návrh vyhlášky, kterou se mění vyhláška č. 362/2016 Sb., o podmínkách poskytnutí dotace ze státního rozpočtu v některých existujících expozičních situacích</w:t>
      </w:r>
    </w:p>
    <w:p w:rsidR="00A77B3E">
      <w:pPr>
        <w:pStyle w:val="1"/>
      </w:pPr>
    </w:p>
    <w:p w:rsidR="00A77B3E">
      <w:pPr>
        <w:pStyle w:val="5"/>
      </w:pPr>
      <w:r>
        <w:t>Navrhovaná úprava doplňuje a rozšiřuje podmínky, v kategori bytů nebo rodinných domů, pro poskytnutí dotace ze státního rozpočtu na:</w:t>
      </w:r>
      <w:r>
        <w:br/>
      </w:r>
      <w:r>
        <w:t>- přijetí odůvodněného opatření, které snižuje míru ozáření z přítomnosti radonu a jeho produktů přeměny ve vnitřním ovzduší staveb pro bydlení a pobyt veřejnosti,</w:t>
      </w:r>
      <w:r>
        <w:br/>
      </w:r>
      <w:r>
        <w:t>- přijetí opatření, která snižují obsah přírodních radionuklidů v pitné vodě určené pro veřejnou potřebu.</w:t>
      </w:r>
    </w:p>
    <w:p w:rsidR="00A77B3E">
      <w:pPr>
        <w:pStyle w:val="6"/>
      </w:pPr>
      <w:r>
        <w:t>Navrhovaná úprava vychází z principu, že při posuzování odůvodněnosti státní podpory není rozhodující pouze jeden dílčí zdroj ozáření, ale celková míra ozáření osob v dané stavbě. Zvýšené ozáření ze stavebního materiálu přitom zpravidla nelze odstranit bez rozsáhlých stavebních zásahů. Snížení ozáření obyvatel však lze účinně dosáhnout snížením koncentrace radonu ve vnitřním ovzduší. Protiradonovým opatřením je tak možné kompenzovat část radiační zátěže způsobené přírodními radionuklidy ve stavebním materiálu a dosáhnout významného snížení celkového ozáření obyvatel stavby.</w:t>
      </w:r>
    </w:p>
    <w:p w:rsidR="00A77B3E">
      <w:pPr>
        <w:pStyle w:val="6"/>
      </w:pPr>
      <w:r>
        <w:t>Upravená koncepce navazuje na dřívější přístup, který u staveb pro bydlení umožňoval zohlednit vedle objemové aktivity radonu rovněž zvýšený prostorový dávkový ekvivalent. Smyslem úpravy je zachovat možnost účinného a ekonomicky přiměřeného snížení celkového ozáření obyvatel těchto specifických staveb prostřednictvím opatření zaměřených na tu složku ozáření - radon, kterou lze technicky efektivně ovlivnit.</w:t>
      </w:r>
    </w:p>
    <w:p w:rsidR="00A77B3E">
      <w:pPr>
        <w:pStyle w:val="7"/>
      </w:pPr>
      <w:r>
        <w:t>Úprava je zaměřená na omezený okruh starších staveb. Počet staveb, u nichž byly použity dotčené stavební materiály, lze odhadovat nejvýše v řádu jednotek až nižších desítek tisíc, přičemž podmínky pro poskytnutí dotace bude splňovat pouze část z nich. Navrhovaná změna proto nepředstavuje plošné rozšíření dotační podpory na stavby s nižšími koncentracemi radonu, ale specifické opatření zaměřené na stavby, v nichž je zvýšené ozáření obyvatel prokazatelně způsobeno kombinací radonu a přírodních radionuklidů ve stavebním materiálu.</w:t>
      </w:r>
    </w:p>
    <w:sectPr>
      <w:headerReference w:type="even" r:id="rId4"/>
      <w:headerReference w:type="default" r:id="rId5"/>
      <w:pgSz w:w="12240" w:h="15840"/>
      <w:pgMar w:top="1417" w:right="1417" w:bottom="1417" w:left="1417" w:header="400" w:footer="708" w:gutter="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9406"/>
    </w:tblGrid>
    <w:tr>
      <w:tblPrEx>
        <w:tblW w:w="5000" w:type="pct"/>
      </w:tblPrEx>
      <w:tc>
        <w:tcPr/>
        <w:p>
          <w:pPr>
            <w:pStyle w:val="HlavickaZlutyText"/>
            <w:jc w:val="center"/>
          </w:pPr>
        </w:p>
      </w:tc>
    </w:tr>
    <w:tr>
      <w:tblPrEx>
        <w:tblW w:w="5000" w:type="pct"/>
      </w:tblPrEx>
      <w:tc>
        <w:tcPr/>
        <w:p>
          <w:pPr>
            <w:pStyle w:val="Hlavicka"/>
            <w:jc w:val="center"/>
          </w:pPr>
        </w:p>
      </w:tc>
    </w:tr>
  </w:tbl>
  <w:p>
    <w:pPr>
      <w:pStyle w:val="Hlavic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Mar>
        <w:left w:w="108" w:type="dxa"/>
        <w:right w:w="108" w:type="dxa"/>
      </w:tblCellMar>
    </w:tblPr>
    <w:tblGrid>
      <w:gridCol w:w="9406"/>
    </w:tblGrid>
    <w:tr>
      <w:tblPrEx>
        <w:tblW w:w="5000" w:type="pct"/>
      </w:tblPrEx>
      <w:tc>
        <w:tcPr/>
        <w:p>
          <w:pPr>
            <w:pStyle w:val="HlavickaZlutyText"/>
            <w:jc w:val="center"/>
          </w:pPr>
        </w:p>
      </w:tc>
    </w:tr>
    <w:tr>
      <w:tblPrEx>
        <w:tblW w:w="5000" w:type="pct"/>
      </w:tblPrEx>
      <w:tc>
        <w:tcPr/>
        <w:p>
          <w:pPr>
            <w:pStyle w:val="Hlavicka"/>
            <w:jc w:val="left"/>
          </w:pPr>
        </w:p>
      </w:tc>
    </w:tr>
  </w:tbl>
  <w:p>
    <w:pPr>
      <w:pStyle w:val="Hlavic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evenAndOddHeaders/>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lavicka">
    <w:name w:val="Hlavicka"/>
    <w:rPr>
      <w:i/>
      <w:sz w:val="20"/>
    </w:rPr>
  </w:style>
  <w:style w:type="paragraph" w:customStyle="1" w:styleId="HlavickaZlutyText">
    <w:name w:val="HlavickaZlutyText"/>
    <w:rPr>
      <w:i w:val="0"/>
      <w:sz w:val="18"/>
    </w:rPr>
  </w:style>
  <w:style w:type="paragraph" w:customStyle="1" w:styleId="Variantastart">
    <w:name w:val="Varianta_start"/>
    <w:pPr>
      <w:pBdr>
        <w:top w:val="single" w:sz="8" w:space="0" w:color="800080"/>
      </w:pBdr>
      <w:spacing w:before="0" w:after="100"/>
      <w:jc w:val="left"/>
    </w:pPr>
    <w:rPr>
      <w:rFonts w:ascii="Times New Roman" w:eastAsia="Times New Roman" w:hAnsi="Times New Roman" w:cs="Times New Roman"/>
      <w:b/>
      <w:i/>
      <w:color w:val="800080"/>
      <w:sz w:val="20"/>
    </w:rPr>
  </w:style>
  <w:style w:type="paragraph" w:customStyle="1" w:styleId="Variantakonec">
    <w:name w:val="Varianta_konec"/>
    <w:pPr>
      <w:pBdr>
        <w:bottom w:val="single" w:sz="8" w:space="0" w:color="800080"/>
      </w:pBdr>
      <w:spacing w:before="0" w:after="100"/>
      <w:jc w:val="left"/>
    </w:pPr>
    <w:rPr>
      <w:rFonts w:ascii="Times New Roman" w:eastAsia="Times New Roman" w:hAnsi="Times New Roman" w:cs="Times New Roman"/>
      <w:b/>
      <w:i/>
      <w:color w:val="800080"/>
      <w:sz w:val="20"/>
    </w:rPr>
  </w:style>
  <w:style w:type="paragraph" w:customStyle="1" w:styleId="Ucinnoststart">
    <w:name w:val="Ucinnost_start"/>
    <w:pPr>
      <w:pBdr>
        <w:top w:val="single" w:sz="8" w:space="0" w:color="8B0000"/>
      </w:pBdr>
      <w:spacing w:before="0" w:after="100"/>
      <w:jc w:val="left"/>
    </w:pPr>
    <w:rPr>
      <w:rFonts w:ascii="Times New Roman" w:eastAsia="Times New Roman" w:hAnsi="Times New Roman" w:cs="Times New Roman"/>
      <w:b/>
      <w:i/>
      <w:color w:val="8B0000"/>
      <w:sz w:val="20"/>
    </w:rPr>
  </w:style>
  <w:style w:type="paragraph" w:customStyle="1" w:styleId="Ucinnostkonec">
    <w:name w:val="Ucinnost_konec"/>
    <w:pPr>
      <w:pBdr>
        <w:bottom w:val="single" w:sz="8" w:space="0" w:color="8B0000"/>
      </w:pBdr>
      <w:spacing w:before="0" w:after="100"/>
      <w:jc w:val="left"/>
    </w:pPr>
    <w:rPr>
      <w:rFonts w:ascii="Times New Roman" w:eastAsia="Times New Roman" w:hAnsi="Times New Roman" w:cs="Times New Roman"/>
      <w:b/>
      <w:i/>
      <w:color w:val="8B0000"/>
      <w:sz w:val="20"/>
    </w:rPr>
  </w:style>
  <w:style w:type="paragraph" w:customStyle="1" w:styleId="Celex">
    <w:name w:val="Celex"/>
    <w:pPr>
      <w:spacing w:before="120" w:after="120"/>
      <w:jc w:val="left"/>
    </w:pPr>
    <w:rPr>
      <w:rFonts w:ascii="Times New Roman" w:eastAsia="Times New Roman" w:hAnsi="Times New Roman" w:cs="Times New Roman"/>
      <w:i/>
      <w:sz w:val="20"/>
    </w:rPr>
  </w:style>
  <w:style w:type="paragraph" w:customStyle="1" w:styleId="Pripominkystart">
    <w:name w:val="Pripominky_start"/>
    <w:pPr>
      <w:pBdr>
        <w:top w:val="single" w:sz="8" w:space="0" w:color="87CEFA"/>
      </w:pBdr>
      <w:spacing w:before="0" w:after="100"/>
      <w:jc w:val="right"/>
    </w:pPr>
    <w:rPr>
      <w:rFonts w:ascii="Times New Roman" w:eastAsia="Times New Roman" w:hAnsi="Times New Roman" w:cs="Times New Roman"/>
      <w:b/>
      <w:i/>
      <w:color w:val="87CEFA"/>
      <w:sz w:val="20"/>
    </w:rPr>
  </w:style>
  <w:style w:type="paragraph" w:customStyle="1" w:styleId="1">
    <w:name w:val="1"/>
    <w:pPr>
      <w:spacing w:before="11" w:after="0"/>
      <w:ind w:right="0"/>
      <w:jc w:val="left"/>
    </w:pPr>
    <w:rPr>
      <w:rFonts w:ascii="Times New Roman" w:eastAsia="Times New Roman" w:hAnsi="Times New Roman" w:cs="Times New Roman"/>
      <w:sz w:val="0"/>
    </w:rPr>
  </w:style>
  <w:style w:type="paragraph" w:customStyle="1" w:styleId="2">
    <w:name w:val="2"/>
    <w:pPr>
      <w:spacing w:before="57" w:after="0"/>
      <w:ind w:right="227"/>
      <w:jc w:val="right"/>
    </w:pPr>
    <w:rPr>
      <w:rFonts w:ascii="Times New Roman" w:eastAsia="Times New Roman" w:hAnsi="Times New Roman" w:cs="Times New Roman"/>
      <w:b/>
      <w:sz w:val="40"/>
    </w:rPr>
  </w:style>
  <w:style w:type="paragraph" w:customStyle="1" w:styleId="3">
    <w:name w:val="3"/>
    <w:pPr>
      <w:spacing w:before="0" w:after="340"/>
      <w:ind w:left="680" w:right="680"/>
      <w:jc w:val="center"/>
    </w:pPr>
    <w:rPr>
      <w:rFonts w:ascii="Times New Roman" w:eastAsia="Times New Roman" w:hAnsi="Times New Roman" w:cs="Times New Roman"/>
      <w:b/>
      <w:sz w:val="44"/>
    </w:rPr>
  </w:style>
  <w:style w:type="paragraph" w:customStyle="1" w:styleId="4">
    <w:name w:val="4"/>
    <w:pPr>
      <w:spacing w:before="340" w:after="113"/>
      <w:ind w:left="850" w:right="850"/>
      <w:jc w:val="center"/>
    </w:pPr>
    <w:rPr>
      <w:rFonts w:ascii="Times New Roman" w:eastAsia="Times New Roman" w:hAnsi="Times New Roman" w:cs="Times New Roman"/>
      <w:b/>
      <w:sz w:val="34"/>
    </w:rPr>
  </w:style>
  <w:style w:type="paragraph" w:customStyle="1" w:styleId="5">
    <w:name w:val="5"/>
    <w:pPr>
      <w:spacing w:before="0" w:after="113"/>
      <w:ind w:right="0"/>
      <w:jc w:val="both"/>
    </w:pPr>
    <w:rPr>
      <w:rFonts w:ascii="Times New Roman" w:eastAsia="Times New Roman" w:hAnsi="Times New Roman" w:cs="Times New Roman"/>
      <w:sz w:val="24"/>
    </w:rPr>
  </w:style>
  <w:style w:type="paragraph" w:customStyle="1" w:styleId="6">
    <w:name w:val="6"/>
    <w:pPr>
      <w:spacing w:before="113" w:after="113"/>
      <w:ind w:right="0"/>
      <w:jc w:val="both"/>
    </w:pPr>
    <w:rPr>
      <w:rFonts w:ascii="Times New Roman" w:eastAsia="Times New Roman" w:hAnsi="Times New Roman" w:cs="Times New Roman"/>
      <w:sz w:val="24"/>
    </w:rPr>
  </w:style>
  <w:style w:type="paragraph" w:customStyle="1" w:styleId="7">
    <w:name w:val="7"/>
    <w:pPr>
      <w:spacing w:before="113" w:after="57"/>
      <w:ind w:right="0"/>
      <w:jc w:val="both"/>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Stručný popis obsahu návrhu právního předpisu</dc:title>
  <dc:creator>e-Legislativa</dc:creator>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relationId">
    <vt:lpwstr>50620399-27b7-4865-85f8-f58c619d5006:736</vt:lpwstr>
  </property>
  <property fmtid="{D5CDD505-2E9C-101B-9397-08002B2CF9AE}" pid="3" name="GenerovaneZEditoru">
    <vt:lpwstr>true</vt:lpwstr>
  </property>
  <property fmtid="{D5CDD505-2E9C-101B-9397-08002B2CF9AE}" pid="4" name="IdPodprostoru">
    <vt:lpwstr/>
  </property>
  <property fmtid="{D5CDD505-2E9C-101B-9397-08002B2CF9AE}" pid="5" name="JeUzavrena">
    <vt:lpwstr/>
  </property>
  <property fmtid="{D5CDD505-2E9C-101B-9397-08002B2CF9AE}" pid="6" name="PozadavekId">
    <vt:lpwstr>07cb14b9-3274-4877-94da-63d7d542c093</vt:lpwstr>
  </property>
  <property fmtid="{D5CDD505-2E9C-101B-9397-08002B2CF9AE}" pid="7" name="Verze aplikace">
    <vt:lpwstr>v1.0-07.35.HF6</vt:lpwstr>
  </property>
  <property fmtid="{D5CDD505-2E9C-101B-9397-08002B2CF9AE}" pid="8" name="VrstvaNavrhuId">
    <vt:lpwstr/>
  </property>
  <property fmtid="{D5CDD505-2E9C-101B-9397-08002B2CF9AE}" pid="9" name="VrstvaObsahuId">
    <vt:lpwstr/>
  </property>
</Properties>
</file>